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270" w:rsidRDefault="00362270" w:rsidP="00362270">
      <w:pPr>
        <w:pStyle w:val="Header"/>
      </w:pPr>
      <w:r w:rsidRPr="00895F03">
        <w:rPr>
          <w:rFonts w:ascii="Times New Roman" w:eastAsia="Calibri" w:hAnsi="Times New Roman" w:cs="Times New Roman"/>
          <w:sz w:val="20"/>
        </w:rPr>
        <w:t>Indian Journal of Basic and Applied Medical Research; March 20</w:t>
      </w:r>
      <w:r>
        <w:rPr>
          <w:rFonts w:ascii="Times New Roman" w:eastAsia="Calibri" w:hAnsi="Times New Roman" w:cs="Times New Roman"/>
          <w:sz w:val="20"/>
        </w:rPr>
        <w:t>15: Vol.-4, Issue- 2, P. 278-285</w:t>
      </w:r>
    </w:p>
    <w:p w:rsidR="00362270" w:rsidRDefault="00362270" w:rsidP="00362270">
      <w:pPr>
        <w:spacing w:after="0" w:line="360" w:lineRule="auto"/>
        <w:jc w:val="both"/>
        <w:rPr>
          <w:rFonts w:ascii="Cambria" w:hAnsi="Cambria" w:cstheme="minorHAnsi"/>
          <w:b/>
          <w:bCs/>
          <w:sz w:val="24"/>
          <w:szCs w:val="24"/>
          <w:highlight w:val="lightGray"/>
        </w:rPr>
      </w:pPr>
    </w:p>
    <w:p w:rsidR="00362270" w:rsidRPr="0094009C" w:rsidRDefault="00362270" w:rsidP="00362270">
      <w:pPr>
        <w:spacing w:after="0" w:line="360" w:lineRule="auto"/>
        <w:jc w:val="both"/>
        <w:rPr>
          <w:rFonts w:ascii="Cambria" w:hAnsi="Cambria" w:cstheme="minorHAnsi"/>
          <w:b/>
          <w:bCs/>
          <w:sz w:val="24"/>
          <w:szCs w:val="24"/>
        </w:rPr>
      </w:pPr>
      <w:r w:rsidRPr="0094009C">
        <w:rPr>
          <w:rFonts w:ascii="Cambria" w:hAnsi="Cambria" w:cstheme="minorHAnsi"/>
          <w:b/>
          <w:bCs/>
          <w:sz w:val="24"/>
          <w:szCs w:val="24"/>
          <w:highlight w:val="lightGray"/>
        </w:rPr>
        <w:t>Case report</w:t>
      </w:r>
    </w:p>
    <w:p w:rsidR="00362270" w:rsidRPr="0094009C" w:rsidRDefault="00362270" w:rsidP="00362270">
      <w:pPr>
        <w:spacing w:after="0" w:line="360" w:lineRule="auto"/>
        <w:rPr>
          <w:rFonts w:ascii="Cambria" w:hAnsi="Cambria" w:cstheme="minorHAnsi"/>
          <w:b/>
          <w:bCs/>
          <w:color w:val="1F497D" w:themeColor="text2"/>
          <w:sz w:val="28"/>
          <w:szCs w:val="28"/>
        </w:rPr>
      </w:pPr>
      <w:r w:rsidRPr="0094009C">
        <w:rPr>
          <w:rFonts w:ascii="Cambria" w:hAnsi="Cambria" w:cstheme="minorHAnsi"/>
          <w:b/>
          <w:bCs/>
          <w:color w:val="1F497D" w:themeColor="text2"/>
          <w:sz w:val="28"/>
          <w:szCs w:val="28"/>
        </w:rPr>
        <w:t>Triple Threat: Anemic Trio - Megaloblastic Anemia, Iron Deficiency Anemia And Hemolysis In A 64 Year Old Male</w:t>
      </w:r>
    </w:p>
    <w:p w:rsidR="00362270" w:rsidRDefault="00362270" w:rsidP="00362270">
      <w:pPr>
        <w:spacing w:after="0" w:line="360" w:lineRule="auto"/>
        <w:jc w:val="both"/>
        <w:rPr>
          <w:rFonts w:ascii="Cambria" w:hAnsi="Cambria" w:cstheme="minorHAnsi"/>
          <w:b/>
          <w:sz w:val="20"/>
          <w:szCs w:val="20"/>
          <w:vertAlign w:val="superscript"/>
        </w:rPr>
      </w:pPr>
      <w:r w:rsidRPr="0094009C">
        <w:rPr>
          <w:rFonts w:ascii="Cambria" w:hAnsi="Cambria" w:cstheme="minorHAnsi"/>
          <w:b/>
          <w:bCs/>
          <w:sz w:val="20"/>
          <w:szCs w:val="20"/>
        </w:rPr>
        <w:t xml:space="preserve">Dr </w:t>
      </w:r>
      <w:r w:rsidRPr="0094009C">
        <w:rPr>
          <w:rFonts w:ascii="Cambria" w:hAnsi="Cambria" w:cstheme="minorHAnsi"/>
          <w:b/>
          <w:sz w:val="20"/>
          <w:szCs w:val="20"/>
        </w:rPr>
        <w:t>Palaniappan C</w:t>
      </w:r>
      <w:r w:rsidRPr="0094009C">
        <w:rPr>
          <w:rFonts w:ascii="Cambria" w:hAnsi="Cambria" w:cstheme="minorHAnsi"/>
          <w:b/>
          <w:sz w:val="20"/>
          <w:szCs w:val="20"/>
          <w:vertAlign w:val="superscript"/>
        </w:rPr>
        <w:t>1</w:t>
      </w:r>
      <w:r w:rsidRPr="0094009C">
        <w:rPr>
          <w:rFonts w:ascii="Cambria" w:hAnsi="Cambria" w:cstheme="minorHAnsi"/>
          <w:b/>
          <w:sz w:val="20"/>
          <w:szCs w:val="20"/>
        </w:rPr>
        <w:t>, Dr Badrinath AK</w:t>
      </w:r>
      <w:r w:rsidRPr="0094009C">
        <w:rPr>
          <w:rFonts w:ascii="Cambria" w:hAnsi="Cambria" w:cstheme="minorHAnsi"/>
          <w:b/>
          <w:sz w:val="20"/>
          <w:szCs w:val="20"/>
          <w:vertAlign w:val="superscript"/>
        </w:rPr>
        <w:t>2</w:t>
      </w:r>
      <w:r w:rsidRPr="0094009C">
        <w:rPr>
          <w:rFonts w:ascii="Cambria" w:hAnsi="Cambria" w:cstheme="minorHAnsi"/>
          <w:b/>
          <w:sz w:val="20"/>
          <w:szCs w:val="20"/>
        </w:rPr>
        <w:t>, Dr Suresh K</w:t>
      </w:r>
      <w:r w:rsidRPr="0094009C">
        <w:rPr>
          <w:rFonts w:ascii="Cambria" w:hAnsi="Cambria" w:cstheme="minorHAnsi"/>
          <w:b/>
          <w:sz w:val="20"/>
          <w:szCs w:val="20"/>
          <w:vertAlign w:val="superscript"/>
        </w:rPr>
        <w:t>3</w:t>
      </w:r>
      <w:r w:rsidRPr="0094009C">
        <w:rPr>
          <w:rFonts w:ascii="Cambria" w:hAnsi="Cambria" w:cstheme="minorHAnsi"/>
          <w:b/>
          <w:sz w:val="20"/>
          <w:szCs w:val="20"/>
        </w:rPr>
        <w:t>, Dr Debranjani</w:t>
      </w:r>
      <w:r w:rsidRPr="0094009C">
        <w:rPr>
          <w:rFonts w:ascii="Cambria" w:hAnsi="Cambria" w:cstheme="minorHAnsi"/>
          <w:b/>
          <w:sz w:val="20"/>
          <w:szCs w:val="20"/>
          <w:vertAlign w:val="superscript"/>
        </w:rPr>
        <w:t>4</w:t>
      </w:r>
      <w:r w:rsidRPr="0094009C">
        <w:rPr>
          <w:rFonts w:ascii="Cambria" w:hAnsi="Cambria" w:cstheme="minorHAnsi"/>
          <w:b/>
          <w:sz w:val="20"/>
          <w:szCs w:val="20"/>
        </w:rPr>
        <w:t>, Dr Desai KR</w:t>
      </w:r>
      <w:r w:rsidRPr="0094009C">
        <w:rPr>
          <w:rFonts w:ascii="Cambria" w:hAnsi="Cambria" w:cstheme="minorHAnsi"/>
          <w:b/>
          <w:sz w:val="20"/>
          <w:szCs w:val="20"/>
          <w:vertAlign w:val="superscript"/>
        </w:rPr>
        <w:t>5</w:t>
      </w:r>
    </w:p>
    <w:p w:rsidR="00362270" w:rsidRPr="0094009C" w:rsidRDefault="00362270" w:rsidP="00362270">
      <w:pPr>
        <w:spacing w:after="0" w:line="360" w:lineRule="auto"/>
        <w:jc w:val="both"/>
        <w:rPr>
          <w:rFonts w:ascii="Cambria" w:hAnsi="Cambria" w:cstheme="minorHAnsi"/>
          <w:b/>
          <w:sz w:val="20"/>
          <w:szCs w:val="20"/>
        </w:rPr>
      </w:pPr>
    </w:p>
    <w:p w:rsidR="00362270" w:rsidRPr="0094009C" w:rsidRDefault="00362270" w:rsidP="00362270">
      <w:pPr>
        <w:spacing w:after="0" w:line="360" w:lineRule="auto"/>
        <w:jc w:val="both"/>
        <w:rPr>
          <w:rFonts w:ascii="Cambria" w:hAnsi="Cambria" w:cstheme="minorHAnsi"/>
          <w:sz w:val="18"/>
          <w:szCs w:val="18"/>
        </w:rPr>
      </w:pPr>
      <w:r w:rsidRPr="0094009C">
        <w:rPr>
          <w:rFonts w:ascii="Cambria" w:hAnsi="Cambria" w:cstheme="minorHAnsi"/>
          <w:sz w:val="18"/>
          <w:szCs w:val="18"/>
          <w:vertAlign w:val="superscript"/>
        </w:rPr>
        <w:t>1</w:t>
      </w:r>
      <w:r w:rsidRPr="0094009C">
        <w:rPr>
          <w:rFonts w:ascii="Cambria" w:hAnsi="Cambria" w:cstheme="minorHAnsi"/>
          <w:sz w:val="18"/>
          <w:szCs w:val="18"/>
        </w:rPr>
        <w:t>Post graduate, Department of Internal medicine, SMVMCH, Puducherry</w:t>
      </w:r>
    </w:p>
    <w:p w:rsidR="00362270" w:rsidRPr="0094009C" w:rsidRDefault="00362270" w:rsidP="00362270">
      <w:pPr>
        <w:spacing w:after="0" w:line="360" w:lineRule="auto"/>
        <w:jc w:val="both"/>
        <w:rPr>
          <w:rFonts w:ascii="Cambria" w:hAnsi="Cambria" w:cstheme="minorHAnsi"/>
          <w:sz w:val="18"/>
          <w:szCs w:val="18"/>
        </w:rPr>
      </w:pPr>
      <w:r w:rsidRPr="0094009C">
        <w:rPr>
          <w:rFonts w:ascii="Cambria" w:hAnsi="Cambria" w:cstheme="minorHAnsi"/>
          <w:sz w:val="18"/>
          <w:szCs w:val="18"/>
          <w:vertAlign w:val="superscript"/>
        </w:rPr>
        <w:t>2</w:t>
      </w:r>
      <w:r w:rsidRPr="0094009C">
        <w:rPr>
          <w:rFonts w:ascii="Cambria" w:hAnsi="Cambria" w:cstheme="minorHAnsi"/>
          <w:sz w:val="18"/>
          <w:szCs w:val="18"/>
        </w:rPr>
        <w:t>Professor, Department of Internal medicine, SMVMCH, Puducherry</w:t>
      </w:r>
    </w:p>
    <w:p w:rsidR="00362270" w:rsidRPr="0094009C" w:rsidRDefault="00362270" w:rsidP="00362270">
      <w:pPr>
        <w:spacing w:after="0" w:line="360" w:lineRule="auto"/>
        <w:jc w:val="both"/>
        <w:rPr>
          <w:rFonts w:ascii="Cambria" w:hAnsi="Cambria" w:cstheme="minorHAnsi"/>
          <w:sz w:val="18"/>
          <w:szCs w:val="18"/>
        </w:rPr>
      </w:pPr>
      <w:r w:rsidRPr="0094009C">
        <w:rPr>
          <w:rFonts w:ascii="Cambria" w:hAnsi="Cambria" w:cstheme="minorHAnsi"/>
          <w:sz w:val="18"/>
          <w:szCs w:val="18"/>
          <w:vertAlign w:val="superscript"/>
        </w:rPr>
        <w:t>3</w:t>
      </w:r>
      <w:r w:rsidRPr="0094009C">
        <w:rPr>
          <w:rFonts w:ascii="Cambria" w:hAnsi="Cambria" w:cstheme="minorHAnsi"/>
          <w:sz w:val="18"/>
          <w:szCs w:val="18"/>
        </w:rPr>
        <w:t>Associate Professor, Department of Internal medicine, SMVMCH, Puducherry</w:t>
      </w:r>
    </w:p>
    <w:p w:rsidR="00362270" w:rsidRPr="0094009C" w:rsidRDefault="00362270" w:rsidP="00362270">
      <w:pPr>
        <w:spacing w:after="0" w:line="360" w:lineRule="auto"/>
        <w:jc w:val="both"/>
        <w:rPr>
          <w:rFonts w:ascii="Cambria" w:hAnsi="Cambria" w:cstheme="minorHAnsi"/>
          <w:sz w:val="18"/>
          <w:szCs w:val="18"/>
        </w:rPr>
      </w:pPr>
      <w:r w:rsidRPr="0094009C">
        <w:rPr>
          <w:rFonts w:ascii="Cambria" w:hAnsi="Cambria" w:cstheme="minorHAnsi"/>
          <w:sz w:val="18"/>
          <w:szCs w:val="18"/>
          <w:vertAlign w:val="superscript"/>
        </w:rPr>
        <w:t>4</w:t>
      </w:r>
      <w:r w:rsidRPr="0094009C">
        <w:rPr>
          <w:rFonts w:ascii="Cambria" w:hAnsi="Cambria" w:cstheme="minorHAnsi"/>
          <w:sz w:val="18"/>
          <w:szCs w:val="18"/>
        </w:rPr>
        <w:t>Assistant Professor, Department of Internal medicine, SMVMCH, Puducherry</w:t>
      </w:r>
    </w:p>
    <w:p w:rsidR="00362270" w:rsidRPr="0094009C" w:rsidRDefault="00362270" w:rsidP="00362270">
      <w:pPr>
        <w:spacing w:after="0" w:line="360" w:lineRule="auto"/>
        <w:jc w:val="both"/>
        <w:rPr>
          <w:rFonts w:ascii="Cambria" w:hAnsi="Cambria" w:cstheme="minorHAnsi"/>
          <w:sz w:val="18"/>
          <w:szCs w:val="18"/>
        </w:rPr>
      </w:pPr>
      <w:r w:rsidRPr="0094009C">
        <w:rPr>
          <w:rFonts w:ascii="Cambria" w:hAnsi="Cambria" w:cstheme="minorHAnsi"/>
          <w:sz w:val="18"/>
          <w:szCs w:val="18"/>
          <w:vertAlign w:val="superscript"/>
        </w:rPr>
        <w:t>5</w:t>
      </w:r>
      <w:r w:rsidRPr="0094009C">
        <w:rPr>
          <w:rFonts w:ascii="Cambria" w:hAnsi="Cambria" w:cstheme="minorHAnsi"/>
          <w:sz w:val="18"/>
          <w:szCs w:val="18"/>
        </w:rPr>
        <w:t>Post graduate, Department of Pathology, SMVMCH, Puducherry</w:t>
      </w:r>
    </w:p>
    <w:p w:rsidR="00362270" w:rsidRDefault="00362270" w:rsidP="00362270">
      <w:pPr>
        <w:pBdr>
          <w:bottom w:val="single" w:sz="6" w:space="1" w:color="auto"/>
        </w:pBdr>
        <w:spacing w:after="0" w:line="360" w:lineRule="auto"/>
        <w:jc w:val="both"/>
        <w:rPr>
          <w:rFonts w:ascii="Cambria" w:hAnsi="Cambria" w:cstheme="minorHAnsi"/>
          <w:bCs/>
          <w:sz w:val="18"/>
          <w:szCs w:val="18"/>
        </w:rPr>
      </w:pPr>
      <w:r w:rsidRPr="0094009C">
        <w:rPr>
          <w:rFonts w:ascii="Cambria" w:hAnsi="Cambria" w:cstheme="minorHAnsi"/>
          <w:sz w:val="18"/>
          <w:szCs w:val="18"/>
        </w:rPr>
        <w:t>C</w:t>
      </w:r>
      <w:r w:rsidRPr="0094009C">
        <w:rPr>
          <w:rFonts w:ascii="Cambria" w:hAnsi="Cambria" w:cstheme="minorHAnsi"/>
          <w:b/>
          <w:bCs/>
          <w:sz w:val="18"/>
          <w:szCs w:val="18"/>
        </w:rPr>
        <w:t xml:space="preserve">orresponding Author: </w:t>
      </w:r>
      <w:r w:rsidRPr="0094009C">
        <w:rPr>
          <w:rFonts w:ascii="Cambria" w:hAnsi="Cambria" w:cstheme="minorHAnsi"/>
          <w:sz w:val="18"/>
          <w:szCs w:val="18"/>
        </w:rPr>
        <w:t xml:space="preserve">Dr </w:t>
      </w:r>
      <w:r w:rsidRPr="0094009C">
        <w:rPr>
          <w:rFonts w:ascii="Cambria" w:hAnsi="Cambria" w:cstheme="minorHAnsi"/>
          <w:bCs/>
          <w:sz w:val="18"/>
          <w:szCs w:val="18"/>
        </w:rPr>
        <w:t>Palaniappan C</w:t>
      </w:r>
    </w:p>
    <w:p w:rsidR="00362270" w:rsidRDefault="00362270" w:rsidP="00362270">
      <w:pPr>
        <w:spacing w:after="0" w:line="360" w:lineRule="auto"/>
        <w:jc w:val="both"/>
        <w:rPr>
          <w:rFonts w:ascii="Cambria" w:hAnsi="Cambria" w:cstheme="minorHAnsi"/>
          <w:bCs/>
          <w:sz w:val="18"/>
          <w:szCs w:val="18"/>
        </w:rPr>
      </w:pPr>
    </w:p>
    <w:p w:rsidR="00362270" w:rsidRPr="0094009C" w:rsidRDefault="00362270" w:rsidP="00362270">
      <w:pPr>
        <w:spacing w:after="0" w:line="360" w:lineRule="auto"/>
        <w:jc w:val="both"/>
        <w:rPr>
          <w:rFonts w:ascii="Times New Roman" w:hAnsi="Times New Roman" w:cs="Times New Roman"/>
          <w:b/>
          <w:bCs/>
          <w:sz w:val="20"/>
          <w:szCs w:val="20"/>
        </w:rPr>
      </w:pPr>
      <w:r w:rsidRPr="0094009C">
        <w:rPr>
          <w:rFonts w:ascii="Times New Roman" w:hAnsi="Times New Roman" w:cs="Times New Roman"/>
          <w:b/>
          <w:bCs/>
          <w:sz w:val="20"/>
          <w:szCs w:val="20"/>
        </w:rPr>
        <w:t>Abstract:</w:t>
      </w:r>
    </w:p>
    <w:p w:rsidR="00362270" w:rsidRPr="0094009C" w:rsidRDefault="00362270" w:rsidP="00362270">
      <w:pPr>
        <w:spacing w:after="0" w:line="360" w:lineRule="auto"/>
        <w:jc w:val="both"/>
        <w:rPr>
          <w:rFonts w:ascii="Times New Roman" w:hAnsi="Times New Roman" w:cs="Times New Roman"/>
          <w:sz w:val="18"/>
          <w:szCs w:val="18"/>
        </w:rPr>
      </w:pPr>
      <w:r w:rsidRPr="0094009C">
        <w:rPr>
          <w:rFonts w:ascii="Times New Roman" w:hAnsi="Times New Roman" w:cs="Times New Roman"/>
          <w:sz w:val="18"/>
          <w:szCs w:val="18"/>
        </w:rPr>
        <w:t>A 64 year old male presented with complaints of generalised weakness and easy fatiguability for the past 1 year being treated for symptoms on &amp; off. On examination, patient was pale&amp; ictericwith no other abnormality noticed. Routine blood investigations done which showed Hb-4.5 g/dL, PCV-14.5, red cell distribution width-28.6%,MCV-125fL, MCH-38.8pg, MCHC-31g/dL, elevated total bilirubin-2.9mg/dL, Direct Bilirubin-1.1mg/dL, Indirect Bilirubin-1.8mg/dL. Serum Iron-31ug/dL, Serum Transferrin Saturation-10%, Serum LDH-1339U/L, Serum Haptoglobin-110mg/dL, Serum Vit B12-50pg/ml, Reticulocyte Count was 20%, ANA- weekly Positive, direct coombs test was negative. Peripheral blood smear showed,“Marked anisocytosis, poikilocytosis with predominantly macrocytic,normochromic with macroovalocytes,elliptocytes,tear drop cells and polychromatic macrocytes and occasional nRBC’s, fragmented RBC’s seen with mild thrombocytopenia”. Bone marrow aspiration done which showed,“Erythroid series of cells with micronormoblastic and megaloblastic maturation with few scattered leucocytes”. The patient was diagnosed with hemolytic anemia secondary to vitamin B12 deficiency with concomitant iron deficiency anemia.</w:t>
      </w:r>
    </w:p>
    <w:p w:rsidR="00362270" w:rsidRDefault="00362270" w:rsidP="00362270">
      <w:pPr>
        <w:pBdr>
          <w:bottom w:val="single" w:sz="6" w:space="1" w:color="auto"/>
        </w:pBdr>
        <w:spacing w:after="0" w:line="360" w:lineRule="auto"/>
        <w:jc w:val="both"/>
        <w:rPr>
          <w:rFonts w:ascii="Times New Roman" w:hAnsi="Times New Roman" w:cs="Times New Roman"/>
          <w:bCs/>
          <w:sz w:val="18"/>
          <w:szCs w:val="18"/>
        </w:rPr>
      </w:pPr>
      <w:r w:rsidRPr="0094009C">
        <w:rPr>
          <w:rFonts w:ascii="Times New Roman" w:hAnsi="Times New Roman" w:cs="Times New Roman"/>
          <w:b/>
          <w:bCs/>
          <w:sz w:val="18"/>
          <w:szCs w:val="18"/>
        </w:rPr>
        <w:t xml:space="preserve">Keywords: </w:t>
      </w:r>
      <w:r w:rsidRPr="0094009C">
        <w:rPr>
          <w:rFonts w:ascii="Times New Roman" w:hAnsi="Times New Roman" w:cs="Times New Roman"/>
          <w:bCs/>
          <w:sz w:val="18"/>
          <w:szCs w:val="18"/>
        </w:rPr>
        <w:t>Vitamin B12, Iron Deficiency Anemia, Hemolysis, nRBC’s, Macro-ovalocytes, Megaloblastic Maturation, Coomb’s test, LDH</w:t>
      </w:r>
    </w:p>
    <w:p w:rsidR="0006104F" w:rsidRDefault="0006104F"/>
    <w:sectPr w:rsidR="0006104F" w:rsidSect="0006104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64D0" w:rsidRDefault="008A64D0" w:rsidP="00362270">
      <w:pPr>
        <w:spacing w:after="0" w:line="240" w:lineRule="auto"/>
      </w:pPr>
      <w:r>
        <w:separator/>
      </w:r>
    </w:p>
  </w:endnote>
  <w:endnote w:type="continuationSeparator" w:id="1">
    <w:p w:rsidR="008A64D0" w:rsidRDefault="008A64D0" w:rsidP="003622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64D0" w:rsidRDefault="008A64D0" w:rsidP="00362270">
      <w:pPr>
        <w:spacing w:after="0" w:line="240" w:lineRule="auto"/>
      </w:pPr>
      <w:r>
        <w:separator/>
      </w:r>
    </w:p>
  </w:footnote>
  <w:footnote w:type="continuationSeparator" w:id="1">
    <w:p w:rsidR="008A64D0" w:rsidRDefault="008A64D0" w:rsidP="0036227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characterSpacingControl w:val="doNotCompress"/>
  <w:footnotePr>
    <w:footnote w:id="0"/>
    <w:footnote w:id="1"/>
  </w:footnotePr>
  <w:endnotePr>
    <w:endnote w:id="0"/>
    <w:endnote w:id="1"/>
  </w:endnotePr>
  <w:compat/>
  <w:rsids>
    <w:rsidRoot w:val="00362270"/>
    <w:rsid w:val="000061B3"/>
    <w:rsid w:val="0006104F"/>
    <w:rsid w:val="00274F00"/>
    <w:rsid w:val="00362270"/>
    <w:rsid w:val="008A64D0"/>
    <w:rsid w:val="00A83F59"/>
    <w:rsid w:val="00DF43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270"/>
    <w:pPr>
      <w:spacing w:after="160" w:line="259" w:lineRule="auto"/>
    </w:pPr>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
    <w:basedOn w:val="Normal"/>
    <w:link w:val="HeaderChar"/>
    <w:uiPriority w:val="99"/>
    <w:unhideWhenUsed/>
    <w:rsid w:val="00362270"/>
    <w:pPr>
      <w:tabs>
        <w:tab w:val="center" w:pos="4680"/>
        <w:tab w:val="right" w:pos="9360"/>
      </w:tabs>
      <w:spacing w:after="0" w:line="240" w:lineRule="auto"/>
    </w:pPr>
  </w:style>
  <w:style w:type="character" w:customStyle="1" w:styleId="HeaderChar">
    <w:name w:val="Header Char"/>
    <w:aliases w:val="Char Char"/>
    <w:basedOn w:val="DefaultParagraphFont"/>
    <w:link w:val="Header"/>
    <w:uiPriority w:val="99"/>
    <w:rsid w:val="00362270"/>
    <w:rPr>
      <w:lang w:val="en-IN"/>
    </w:rPr>
  </w:style>
  <w:style w:type="paragraph" w:styleId="Footer">
    <w:name w:val="footer"/>
    <w:basedOn w:val="Normal"/>
    <w:link w:val="FooterChar"/>
    <w:uiPriority w:val="99"/>
    <w:semiHidden/>
    <w:unhideWhenUsed/>
    <w:rsid w:val="0036227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62270"/>
    <w:rPr>
      <w:lang w:val="en-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301</Words>
  <Characters>1720</Characters>
  <Application>Microsoft Office Word</Application>
  <DocSecurity>0</DocSecurity>
  <Lines>14</Lines>
  <Paragraphs>4</Paragraphs>
  <ScaleCrop>false</ScaleCrop>
  <Company/>
  <LinksUpToDate>false</LinksUpToDate>
  <CharactersWithSpaces>2017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1</cp:revision>
  <dcterms:created xsi:type="dcterms:W3CDTF">2015-03-16T11:09:00Z</dcterms:created>
  <dcterms:modified xsi:type="dcterms:W3CDTF">2015-03-16T11:10:00Z</dcterms:modified>
</cp:coreProperties>
</file>